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0D3D1" w14:textId="09431B0A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A Five</w:t>
      </w:r>
      <w:r>
        <w:rPr>
          <w:b/>
          <w:bCs/>
        </w:rPr>
        <w:t xml:space="preserve"> </w:t>
      </w:r>
      <w:r w:rsidRPr="00A4739A">
        <w:rPr>
          <w:b/>
          <w:bCs/>
        </w:rPr>
        <w:t>Year Strategic Framework for Dog Showing in the United Kingdom</w:t>
      </w:r>
    </w:p>
    <w:p w14:paraId="568ADF6D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2026–2031</w:t>
      </w:r>
    </w:p>
    <w:p w14:paraId="28AA4505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1. Introduction</w:t>
      </w:r>
    </w:p>
    <w:p w14:paraId="2726A44A" w14:textId="1F06F5C4" w:rsidR="00A4739A" w:rsidRPr="00A4739A" w:rsidRDefault="00A4739A" w:rsidP="00A4739A">
      <w:r w:rsidRPr="00A4739A">
        <w:t xml:space="preserve">Dog showing in the United Kingdom stands at a critical juncture. While deeply rooted in tradition, the </w:t>
      </w:r>
      <w:r>
        <w:t>hobby</w:t>
      </w:r>
      <w:r w:rsidRPr="00A4739A">
        <w:t xml:space="preserve"> faces significant challenges including declining entries, an ageing </w:t>
      </w:r>
      <w:r>
        <w:t>volunteer</w:t>
      </w:r>
      <w:r w:rsidRPr="00A4739A">
        <w:t xml:space="preserve"> base, rising costs, public scrutiny around welfare, and increasing pressure on volunteers and societies.</w:t>
      </w:r>
    </w:p>
    <w:p w14:paraId="10796BB3" w14:textId="62143520" w:rsidR="00A4739A" w:rsidRPr="00A4739A" w:rsidRDefault="00A4739A" w:rsidP="00A4739A">
      <w:r w:rsidRPr="00A4739A">
        <w:t>Th</w:t>
      </w:r>
      <w:r>
        <w:t>e</w:t>
      </w:r>
      <w:r w:rsidRPr="00A4739A">
        <w:t xml:space="preserve"> five</w:t>
      </w:r>
      <w:r>
        <w:t xml:space="preserve"> </w:t>
      </w:r>
      <w:r w:rsidRPr="00A4739A">
        <w:t xml:space="preserve">year strategy </w:t>
      </w:r>
      <w:r>
        <w:t>will set</w:t>
      </w:r>
      <w:r w:rsidRPr="00A4739A">
        <w:t xml:space="preserve"> out a clear, practical framework to ensure the long</w:t>
      </w:r>
      <w:r>
        <w:t xml:space="preserve"> </w:t>
      </w:r>
      <w:r w:rsidRPr="00A4739A">
        <w:t>term sustainability, credibility, and relevance of dog showing, while preserving its core values of breed knowledge, responsible ownership, and community engagement.</w:t>
      </w:r>
    </w:p>
    <w:p w14:paraId="1D256A13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2. Strategic Vision</w:t>
      </w:r>
    </w:p>
    <w:p w14:paraId="3F632FA6" w14:textId="03505C7B" w:rsidR="00A4739A" w:rsidRPr="00A4739A" w:rsidRDefault="00A4739A" w:rsidP="00A4739A">
      <w:r w:rsidRPr="00A4739A">
        <w:t>To create a modern, inclusive, welfare</w:t>
      </w:r>
      <w:r>
        <w:t xml:space="preserve"> </w:t>
      </w:r>
      <w:r w:rsidRPr="00A4739A">
        <w:t>led dog showing environment that is accessible, trusted, and sustainable for future generations.</w:t>
      </w:r>
    </w:p>
    <w:p w14:paraId="5B27B77D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3. Strategic Objectives</w:t>
      </w:r>
    </w:p>
    <w:p w14:paraId="1DB71B7E" w14:textId="77777777" w:rsidR="00A4739A" w:rsidRPr="00A4739A" w:rsidRDefault="00A4739A" w:rsidP="00A4739A">
      <w:r w:rsidRPr="00A4739A">
        <w:t>Over the next five years, the strategy aims to:</w:t>
      </w:r>
    </w:p>
    <w:p w14:paraId="14A66587" w14:textId="77777777" w:rsidR="00A4739A" w:rsidRPr="00A4739A" w:rsidRDefault="00A4739A" w:rsidP="00A4739A">
      <w:pPr>
        <w:numPr>
          <w:ilvl w:val="0"/>
          <w:numId w:val="1"/>
        </w:numPr>
      </w:pPr>
      <w:r w:rsidRPr="00A4739A">
        <w:t>Increase participation and retention across all age groups</w:t>
      </w:r>
    </w:p>
    <w:p w14:paraId="4E919AB9" w14:textId="77777777" w:rsidR="00A4739A" w:rsidRPr="00A4739A" w:rsidRDefault="00A4739A" w:rsidP="00A4739A">
      <w:pPr>
        <w:numPr>
          <w:ilvl w:val="0"/>
          <w:numId w:val="1"/>
        </w:numPr>
      </w:pPr>
      <w:r w:rsidRPr="00A4739A">
        <w:t>Improve affordability and operational sustainability</w:t>
      </w:r>
    </w:p>
    <w:p w14:paraId="42E98B44" w14:textId="77777777" w:rsidR="00A4739A" w:rsidRPr="00A4739A" w:rsidRDefault="00A4739A" w:rsidP="00A4739A">
      <w:pPr>
        <w:numPr>
          <w:ilvl w:val="0"/>
          <w:numId w:val="1"/>
        </w:numPr>
      </w:pPr>
      <w:r w:rsidRPr="00A4739A">
        <w:t>Strengthen confidence in judging standards and integrity</w:t>
      </w:r>
    </w:p>
    <w:p w14:paraId="1490844D" w14:textId="77777777" w:rsidR="00A4739A" w:rsidRPr="00A4739A" w:rsidRDefault="00A4739A" w:rsidP="00A4739A">
      <w:pPr>
        <w:numPr>
          <w:ilvl w:val="0"/>
          <w:numId w:val="1"/>
        </w:numPr>
      </w:pPr>
      <w:r w:rsidRPr="00A4739A">
        <w:t>Position dog showing as a leader in canine welfare</w:t>
      </w:r>
    </w:p>
    <w:p w14:paraId="07303439" w14:textId="77777777" w:rsidR="00A4739A" w:rsidRPr="00A4739A" w:rsidRDefault="00A4739A" w:rsidP="00A4739A">
      <w:pPr>
        <w:numPr>
          <w:ilvl w:val="0"/>
          <w:numId w:val="1"/>
        </w:numPr>
      </w:pPr>
      <w:r w:rsidRPr="00A4739A">
        <w:t>Modernise systems, communication, and engagement</w:t>
      </w:r>
    </w:p>
    <w:p w14:paraId="5F5035AA" w14:textId="77777777" w:rsidR="00A4739A" w:rsidRPr="00A4739A" w:rsidRDefault="00A4739A" w:rsidP="00A4739A">
      <w:pPr>
        <w:numPr>
          <w:ilvl w:val="0"/>
          <w:numId w:val="1"/>
        </w:numPr>
      </w:pPr>
      <w:r w:rsidRPr="00A4739A">
        <w:t>Protect and support the volunteer workforce</w:t>
      </w:r>
    </w:p>
    <w:p w14:paraId="23279520" w14:textId="77777777" w:rsidR="00A4739A" w:rsidRPr="00A4739A" w:rsidRDefault="00A4739A" w:rsidP="00A4739A">
      <w:pPr>
        <w:numPr>
          <w:ilvl w:val="0"/>
          <w:numId w:val="1"/>
        </w:numPr>
      </w:pPr>
      <w:r w:rsidRPr="00A4739A">
        <w:t>Foster a respectful, inclusive, and welcoming culture</w:t>
      </w:r>
    </w:p>
    <w:p w14:paraId="4090A259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4. Strategic Pillars &amp; Key Initiatives</w:t>
      </w:r>
    </w:p>
    <w:p w14:paraId="07B1133E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4.1 Participation &amp; Demographic Renewal</w:t>
      </w:r>
    </w:p>
    <w:p w14:paraId="2F3BDC02" w14:textId="77777777" w:rsidR="00A4739A" w:rsidRPr="00A4739A" w:rsidRDefault="00A4739A" w:rsidP="00A4739A">
      <w:r w:rsidRPr="00A4739A">
        <w:rPr>
          <w:b/>
          <w:bCs/>
        </w:rPr>
        <w:t>Objective:</w:t>
      </w:r>
      <w:r w:rsidRPr="00A4739A">
        <w:t xml:space="preserve"> Reverse declining entries and broaden participation.</w:t>
      </w:r>
    </w:p>
    <w:p w14:paraId="26741231" w14:textId="77777777" w:rsidR="00A4739A" w:rsidRPr="00A4739A" w:rsidRDefault="00A4739A" w:rsidP="00A4739A">
      <w:r w:rsidRPr="00A4739A">
        <w:rPr>
          <w:b/>
          <w:bCs/>
        </w:rPr>
        <w:t>Key Initiatives:</w:t>
      </w:r>
    </w:p>
    <w:p w14:paraId="4DEAB6FE" w14:textId="1F115F16" w:rsidR="00A4739A" w:rsidRPr="00A4739A" w:rsidRDefault="00A4739A" w:rsidP="00A4739A">
      <w:pPr>
        <w:numPr>
          <w:ilvl w:val="0"/>
          <w:numId w:val="2"/>
        </w:numPr>
      </w:pPr>
      <w:r w:rsidRPr="00A4739A">
        <w:t>Modernise Junior Handling</w:t>
      </w:r>
      <w:r>
        <w:t>/YKC</w:t>
      </w:r>
      <w:r w:rsidRPr="00A4739A">
        <w:t xml:space="preserve"> with clearer progression pathways</w:t>
      </w:r>
    </w:p>
    <w:p w14:paraId="407B1C45" w14:textId="77777777" w:rsidR="00A4739A" w:rsidRPr="00A4739A" w:rsidRDefault="00A4739A" w:rsidP="00A4739A">
      <w:pPr>
        <w:numPr>
          <w:ilvl w:val="0"/>
          <w:numId w:val="2"/>
        </w:numPr>
      </w:pPr>
      <w:r w:rsidRPr="00A4739A">
        <w:t>Introduce structured mentoring for new exhibitors</w:t>
      </w:r>
    </w:p>
    <w:p w14:paraId="4DF84F6B" w14:textId="77777777" w:rsidR="00A4739A" w:rsidRPr="00A4739A" w:rsidRDefault="00A4739A" w:rsidP="00A4739A">
      <w:pPr>
        <w:numPr>
          <w:ilvl w:val="0"/>
          <w:numId w:val="2"/>
        </w:numPr>
      </w:pPr>
      <w:r w:rsidRPr="00A4739A">
        <w:t>Develop “New to Showing” initiatives at open and championship shows</w:t>
      </w:r>
    </w:p>
    <w:p w14:paraId="4A0B993B" w14:textId="6D2C721C" w:rsidR="00A4739A" w:rsidRPr="00A4739A" w:rsidRDefault="00A4739A" w:rsidP="00A4739A">
      <w:pPr>
        <w:numPr>
          <w:ilvl w:val="0"/>
          <w:numId w:val="2"/>
        </w:numPr>
      </w:pPr>
      <w:r w:rsidRPr="00A4739A">
        <w:t>Offer targeted incentives for under</w:t>
      </w:r>
      <w:r>
        <w:t xml:space="preserve"> </w:t>
      </w:r>
      <w:r w:rsidRPr="00A4739A">
        <w:t>25 exhibitors</w:t>
      </w:r>
    </w:p>
    <w:p w14:paraId="3A0252B6" w14:textId="12EA2B3B" w:rsidR="00A4739A" w:rsidRPr="00A4739A" w:rsidRDefault="00A4739A" w:rsidP="00A4739A">
      <w:pPr>
        <w:numPr>
          <w:ilvl w:val="0"/>
          <w:numId w:val="2"/>
        </w:numPr>
      </w:pPr>
      <w:r w:rsidRPr="00A4739A">
        <w:t>Improve retention through feedback and exit</w:t>
      </w:r>
      <w:r>
        <w:t xml:space="preserve"> </w:t>
      </w:r>
      <w:r w:rsidRPr="00A4739A">
        <w:t>analysis</w:t>
      </w:r>
    </w:p>
    <w:p w14:paraId="74FA02BC" w14:textId="77777777" w:rsidR="00A4739A" w:rsidRDefault="00A4739A" w:rsidP="00A4739A">
      <w:pPr>
        <w:rPr>
          <w:b/>
          <w:bCs/>
        </w:rPr>
      </w:pPr>
    </w:p>
    <w:p w14:paraId="005CA313" w14:textId="77777777" w:rsidR="00A4739A" w:rsidRDefault="00A4739A" w:rsidP="00A4739A">
      <w:pPr>
        <w:rPr>
          <w:b/>
          <w:bCs/>
        </w:rPr>
      </w:pPr>
    </w:p>
    <w:p w14:paraId="062BE7A3" w14:textId="3647ED05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4.2 Affordability &amp; Sustainability</w:t>
      </w:r>
    </w:p>
    <w:p w14:paraId="5D6211AF" w14:textId="77777777" w:rsidR="00A4739A" w:rsidRPr="00A4739A" w:rsidRDefault="00A4739A" w:rsidP="00A4739A">
      <w:r w:rsidRPr="00A4739A">
        <w:rPr>
          <w:b/>
          <w:bCs/>
        </w:rPr>
        <w:lastRenderedPageBreak/>
        <w:t>Objective:</w:t>
      </w:r>
      <w:r w:rsidRPr="00A4739A">
        <w:t xml:space="preserve"> Ensure dog showing remains financially viable.</w:t>
      </w:r>
    </w:p>
    <w:p w14:paraId="164D4CA1" w14:textId="77777777" w:rsidR="00A4739A" w:rsidRPr="00A4739A" w:rsidRDefault="00A4739A" w:rsidP="00A4739A">
      <w:r w:rsidRPr="00A4739A">
        <w:rPr>
          <w:b/>
          <w:bCs/>
        </w:rPr>
        <w:t>Key Initiatives:</w:t>
      </w:r>
    </w:p>
    <w:p w14:paraId="2E817F1A" w14:textId="77777777" w:rsidR="00A4739A" w:rsidRPr="00A4739A" w:rsidRDefault="00A4739A" w:rsidP="00A4739A">
      <w:pPr>
        <w:numPr>
          <w:ilvl w:val="0"/>
          <w:numId w:val="3"/>
        </w:numPr>
      </w:pPr>
      <w:r w:rsidRPr="00A4739A">
        <w:t>Encourage transparency in show finances and entry fees</w:t>
      </w:r>
    </w:p>
    <w:p w14:paraId="38F5CE47" w14:textId="77777777" w:rsidR="00A4739A" w:rsidRPr="00A4739A" w:rsidRDefault="00A4739A" w:rsidP="00A4739A">
      <w:pPr>
        <w:numPr>
          <w:ilvl w:val="0"/>
          <w:numId w:val="3"/>
        </w:numPr>
      </w:pPr>
      <w:r w:rsidRPr="00A4739A">
        <w:t>Support flexible show formats and shared resources</w:t>
      </w:r>
    </w:p>
    <w:p w14:paraId="48F75EB9" w14:textId="77777777" w:rsidR="00A4739A" w:rsidRPr="00A4739A" w:rsidRDefault="00A4739A" w:rsidP="00A4739A">
      <w:pPr>
        <w:numPr>
          <w:ilvl w:val="0"/>
          <w:numId w:val="3"/>
        </w:numPr>
      </w:pPr>
      <w:r w:rsidRPr="00A4739A">
        <w:t>Promote collaboration between societies</w:t>
      </w:r>
    </w:p>
    <w:p w14:paraId="54F9AC62" w14:textId="77777777" w:rsidR="00A4739A" w:rsidRPr="00A4739A" w:rsidRDefault="00A4739A" w:rsidP="00A4739A">
      <w:pPr>
        <w:numPr>
          <w:ilvl w:val="0"/>
          <w:numId w:val="3"/>
        </w:numPr>
      </w:pPr>
      <w:r w:rsidRPr="00A4739A">
        <w:t>Provide centralised administrative support where possible</w:t>
      </w:r>
    </w:p>
    <w:p w14:paraId="095708E4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4.3 Judging Standards, Confidence &amp; Trust</w:t>
      </w:r>
    </w:p>
    <w:p w14:paraId="6AFCCBC5" w14:textId="77777777" w:rsidR="00A4739A" w:rsidRPr="00A4739A" w:rsidRDefault="00A4739A" w:rsidP="00A4739A">
      <w:r w:rsidRPr="00A4739A">
        <w:rPr>
          <w:b/>
          <w:bCs/>
        </w:rPr>
        <w:t>Objective:</w:t>
      </w:r>
      <w:r w:rsidRPr="00A4739A">
        <w:t xml:space="preserve"> Restore and maintain confidence in judging.</w:t>
      </w:r>
    </w:p>
    <w:p w14:paraId="7F224690" w14:textId="77777777" w:rsidR="00A4739A" w:rsidRPr="00A4739A" w:rsidRDefault="00A4739A" w:rsidP="00A4739A">
      <w:r w:rsidRPr="00A4739A">
        <w:rPr>
          <w:b/>
          <w:bCs/>
        </w:rPr>
        <w:t>Key Initiatives:</w:t>
      </w:r>
    </w:p>
    <w:p w14:paraId="60FA0835" w14:textId="77777777" w:rsidR="00A4739A" w:rsidRPr="00A4739A" w:rsidRDefault="00A4739A" w:rsidP="00A4739A">
      <w:pPr>
        <w:numPr>
          <w:ilvl w:val="0"/>
          <w:numId w:val="4"/>
        </w:numPr>
      </w:pPr>
      <w:r w:rsidRPr="00A4739A">
        <w:t>Strengthen education around breed purpose, movement, and temperament</w:t>
      </w:r>
    </w:p>
    <w:p w14:paraId="7319C9DE" w14:textId="77777777" w:rsidR="00A4739A" w:rsidRPr="00A4739A" w:rsidRDefault="00A4739A" w:rsidP="00A4739A">
      <w:pPr>
        <w:numPr>
          <w:ilvl w:val="0"/>
          <w:numId w:val="4"/>
        </w:numPr>
      </w:pPr>
      <w:r w:rsidRPr="00A4739A">
        <w:t>Introduce mandatory refresher training at key judging milestones</w:t>
      </w:r>
    </w:p>
    <w:p w14:paraId="3F624A13" w14:textId="77777777" w:rsidR="00A4739A" w:rsidRPr="00A4739A" w:rsidRDefault="00A4739A" w:rsidP="00A4739A">
      <w:pPr>
        <w:numPr>
          <w:ilvl w:val="0"/>
          <w:numId w:val="4"/>
        </w:numPr>
      </w:pPr>
      <w:r w:rsidRPr="00A4739A">
        <w:t>Improve transparency around judging expectations</w:t>
      </w:r>
    </w:p>
    <w:p w14:paraId="38C0A1A1" w14:textId="77777777" w:rsidR="00A4739A" w:rsidRPr="00A4739A" w:rsidRDefault="00A4739A" w:rsidP="00A4739A">
      <w:pPr>
        <w:numPr>
          <w:ilvl w:val="0"/>
          <w:numId w:val="4"/>
        </w:numPr>
      </w:pPr>
      <w:r w:rsidRPr="00A4739A">
        <w:t>Support diversity and fairness in judging progression</w:t>
      </w:r>
    </w:p>
    <w:p w14:paraId="51057873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4.4 Welfare Leadership &amp; Public Confidence</w:t>
      </w:r>
    </w:p>
    <w:p w14:paraId="59EAC13F" w14:textId="08A4D187" w:rsidR="00A4739A" w:rsidRPr="00A4739A" w:rsidRDefault="00A4739A" w:rsidP="00A4739A">
      <w:r w:rsidRPr="00A4739A">
        <w:rPr>
          <w:b/>
          <w:bCs/>
        </w:rPr>
        <w:t>Objective:</w:t>
      </w:r>
      <w:r w:rsidRPr="00A4739A">
        <w:t xml:space="preserve"> Position dog showing as welfare</w:t>
      </w:r>
      <w:r>
        <w:t xml:space="preserve"> </w:t>
      </w:r>
      <w:r w:rsidRPr="00A4739A">
        <w:t>led and responsible.</w:t>
      </w:r>
      <w:bookmarkStart w:id="0" w:name="_GoBack"/>
      <w:bookmarkEnd w:id="0"/>
    </w:p>
    <w:p w14:paraId="1E047630" w14:textId="77777777" w:rsidR="00A4739A" w:rsidRPr="00A4739A" w:rsidRDefault="00A4739A" w:rsidP="00A4739A">
      <w:r w:rsidRPr="00A4739A">
        <w:rPr>
          <w:b/>
          <w:bCs/>
        </w:rPr>
        <w:t>Key Initiatives:</w:t>
      </w:r>
    </w:p>
    <w:p w14:paraId="2C36E349" w14:textId="77777777" w:rsidR="00A4739A" w:rsidRPr="00A4739A" w:rsidRDefault="00A4739A" w:rsidP="00A4739A">
      <w:pPr>
        <w:numPr>
          <w:ilvl w:val="0"/>
          <w:numId w:val="5"/>
        </w:numPr>
      </w:pPr>
      <w:r w:rsidRPr="00A4739A">
        <w:t>Embed welfare messaging visibly at shows</w:t>
      </w:r>
    </w:p>
    <w:p w14:paraId="50BA24CF" w14:textId="77777777" w:rsidR="00A4739A" w:rsidRPr="00A4739A" w:rsidRDefault="00A4739A" w:rsidP="00A4739A">
      <w:pPr>
        <w:numPr>
          <w:ilvl w:val="0"/>
          <w:numId w:val="5"/>
        </w:numPr>
      </w:pPr>
      <w:r w:rsidRPr="00A4739A">
        <w:t>Promote moderation, soundness, and fitness in judging outcomes</w:t>
      </w:r>
    </w:p>
    <w:p w14:paraId="1023095F" w14:textId="77777777" w:rsidR="00A4739A" w:rsidRPr="00A4739A" w:rsidRDefault="00A4739A" w:rsidP="00A4739A">
      <w:pPr>
        <w:numPr>
          <w:ilvl w:val="0"/>
          <w:numId w:val="5"/>
        </w:numPr>
      </w:pPr>
      <w:r w:rsidRPr="00A4739A">
        <w:t>Strengthen links between health testing and success in the ring</w:t>
      </w:r>
    </w:p>
    <w:p w14:paraId="2B2B31C4" w14:textId="77777777" w:rsidR="00A4739A" w:rsidRPr="00A4739A" w:rsidRDefault="00A4739A" w:rsidP="00A4739A">
      <w:pPr>
        <w:numPr>
          <w:ilvl w:val="0"/>
          <w:numId w:val="5"/>
        </w:numPr>
      </w:pPr>
      <w:r w:rsidRPr="00A4739A">
        <w:t>Engage constructively with public and media scrutiny</w:t>
      </w:r>
    </w:p>
    <w:p w14:paraId="33210525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4.5 Modernisation &amp; Digital Engagement</w:t>
      </w:r>
    </w:p>
    <w:p w14:paraId="14CF2739" w14:textId="77777777" w:rsidR="00A4739A" w:rsidRPr="00A4739A" w:rsidRDefault="00A4739A" w:rsidP="00A4739A">
      <w:r w:rsidRPr="00A4739A">
        <w:rPr>
          <w:b/>
          <w:bCs/>
        </w:rPr>
        <w:t>Objective:</w:t>
      </w:r>
      <w:r w:rsidRPr="00A4739A">
        <w:t xml:space="preserve"> Improve efficiency, accessibility, and visibility.</w:t>
      </w:r>
    </w:p>
    <w:p w14:paraId="6A2073D2" w14:textId="77777777" w:rsidR="00A4739A" w:rsidRPr="00A4739A" w:rsidRDefault="00A4739A" w:rsidP="00A4739A">
      <w:r w:rsidRPr="00A4739A">
        <w:rPr>
          <w:b/>
          <w:bCs/>
        </w:rPr>
        <w:t>Key Initiatives:</w:t>
      </w:r>
    </w:p>
    <w:p w14:paraId="7A082F61" w14:textId="77777777" w:rsidR="00A4739A" w:rsidRPr="00A4739A" w:rsidRDefault="00A4739A" w:rsidP="00A4739A">
      <w:pPr>
        <w:numPr>
          <w:ilvl w:val="0"/>
          <w:numId w:val="6"/>
        </w:numPr>
      </w:pPr>
      <w:r w:rsidRPr="00A4739A">
        <w:t>Enhance online entry and results systems</w:t>
      </w:r>
    </w:p>
    <w:p w14:paraId="270E9241" w14:textId="405F8C25" w:rsidR="00A4739A" w:rsidRPr="00A4739A" w:rsidRDefault="00A4739A" w:rsidP="00A4739A">
      <w:pPr>
        <w:numPr>
          <w:ilvl w:val="0"/>
          <w:numId w:val="6"/>
        </w:numPr>
      </w:pPr>
      <w:r w:rsidRPr="00A4739A">
        <w:t>Develop a centralised, user</w:t>
      </w:r>
      <w:r>
        <w:t xml:space="preserve"> </w:t>
      </w:r>
      <w:r w:rsidRPr="00A4739A">
        <w:t>friendly show calendar</w:t>
      </w:r>
    </w:p>
    <w:p w14:paraId="750D7E62" w14:textId="77777777" w:rsidR="00A4739A" w:rsidRPr="00A4739A" w:rsidRDefault="00A4739A" w:rsidP="00A4739A">
      <w:pPr>
        <w:numPr>
          <w:ilvl w:val="0"/>
          <w:numId w:val="6"/>
        </w:numPr>
      </w:pPr>
      <w:r w:rsidRPr="00A4739A">
        <w:t>Expand use of digital catalogues and critiques</w:t>
      </w:r>
    </w:p>
    <w:p w14:paraId="21B66D57" w14:textId="77777777" w:rsidR="00A4739A" w:rsidRPr="00A4739A" w:rsidRDefault="00A4739A" w:rsidP="00A4739A">
      <w:pPr>
        <w:numPr>
          <w:ilvl w:val="0"/>
          <w:numId w:val="6"/>
        </w:numPr>
      </w:pPr>
      <w:r w:rsidRPr="00A4739A">
        <w:t>Support societies in responsible social media engagement</w:t>
      </w:r>
    </w:p>
    <w:p w14:paraId="32FD51A9" w14:textId="77777777" w:rsidR="00A4739A" w:rsidRDefault="00A4739A" w:rsidP="00A4739A">
      <w:pPr>
        <w:rPr>
          <w:b/>
          <w:bCs/>
        </w:rPr>
      </w:pPr>
    </w:p>
    <w:p w14:paraId="1D1A9B14" w14:textId="77777777" w:rsidR="00A4739A" w:rsidRDefault="00A4739A" w:rsidP="00A4739A">
      <w:pPr>
        <w:rPr>
          <w:b/>
          <w:bCs/>
        </w:rPr>
      </w:pPr>
    </w:p>
    <w:p w14:paraId="6917169F" w14:textId="77777777" w:rsidR="00A4739A" w:rsidRDefault="00A4739A" w:rsidP="00A4739A">
      <w:pPr>
        <w:rPr>
          <w:b/>
          <w:bCs/>
        </w:rPr>
      </w:pPr>
    </w:p>
    <w:p w14:paraId="6E8D6045" w14:textId="20BC0BA2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4.6 Volunteer &amp; Stewarding Resilience</w:t>
      </w:r>
    </w:p>
    <w:p w14:paraId="40B323B6" w14:textId="77777777" w:rsidR="00A4739A" w:rsidRPr="00A4739A" w:rsidRDefault="00A4739A" w:rsidP="00A4739A">
      <w:r w:rsidRPr="00A4739A">
        <w:rPr>
          <w:b/>
          <w:bCs/>
        </w:rPr>
        <w:t>Objective:</w:t>
      </w:r>
      <w:r w:rsidRPr="00A4739A">
        <w:t xml:space="preserve"> Protect the backbone of dog showing.</w:t>
      </w:r>
    </w:p>
    <w:p w14:paraId="336DE5A5" w14:textId="77777777" w:rsidR="00A4739A" w:rsidRPr="00A4739A" w:rsidRDefault="00A4739A" w:rsidP="00A4739A">
      <w:r w:rsidRPr="00A4739A">
        <w:rPr>
          <w:b/>
          <w:bCs/>
        </w:rPr>
        <w:lastRenderedPageBreak/>
        <w:t>Key Initiatives:</w:t>
      </w:r>
    </w:p>
    <w:p w14:paraId="1A0FAD55" w14:textId="77777777" w:rsidR="00A4739A" w:rsidRPr="00A4739A" w:rsidRDefault="00A4739A" w:rsidP="00A4739A">
      <w:pPr>
        <w:numPr>
          <w:ilvl w:val="0"/>
          <w:numId w:val="7"/>
        </w:numPr>
      </w:pPr>
      <w:r w:rsidRPr="00A4739A">
        <w:t>Introduce national steward training and recognition schemes</w:t>
      </w:r>
    </w:p>
    <w:p w14:paraId="667946CE" w14:textId="77777777" w:rsidR="00A4739A" w:rsidRPr="00A4739A" w:rsidRDefault="00A4739A" w:rsidP="00A4739A">
      <w:pPr>
        <w:numPr>
          <w:ilvl w:val="0"/>
          <w:numId w:val="7"/>
        </w:numPr>
      </w:pPr>
      <w:r w:rsidRPr="00A4739A">
        <w:t>Reduce volunteer burnout through shared resources</w:t>
      </w:r>
    </w:p>
    <w:p w14:paraId="559E3E20" w14:textId="77777777" w:rsidR="00A4739A" w:rsidRPr="00A4739A" w:rsidRDefault="00A4739A" w:rsidP="00A4739A">
      <w:pPr>
        <w:numPr>
          <w:ilvl w:val="0"/>
          <w:numId w:val="7"/>
        </w:numPr>
      </w:pPr>
      <w:r w:rsidRPr="00A4739A">
        <w:t>Encourage succession planning within societies</w:t>
      </w:r>
    </w:p>
    <w:p w14:paraId="32C2440B" w14:textId="77777777" w:rsidR="00A4739A" w:rsidRPr="00A4739A" w:rsidRDefault="00A4739A" w:rsidP="00A4739A">
      <w:pPr>
        <w:numPr>
          <w:ilvl w:val="0"/>
          <w:numId w:val="7"/>
        </w:numPr>
      </w:pPr>
      <w:r w:rsidRPr="00A4739A">
        <w:t>Actively recruit and support younger volunteers</w:t>
      </w:r>
    </w:p>
    <w:p w14:paraId="61B91B7B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4.7 Culture, Inclusion &amp; Behaviour</w:t>
      </w:r>
    </w:p>
    <w:p w14:paraId="15603473" w14:textId="77777777" w:rsidR="00A4739A" w:rsidRPr="00A4739A" w:rsidRDefault="00A4739A" w:rsidP="00A4739A">
      <w:r w:rsidRPr="00A4739A">
        <w:rPr>
          <w:b/>
          <w:bCs/>
        </w:rPr>
        <w:t>Objective:</w:t>
      </w:r>
      <w:r w:rsidRPr="00A4739A">
        <w:t xml:space="preserve"> Create a respectful and welcoming environment.</w:t>
      </w:r>
    </w:p>
    <w:p w14:paraId="26C8CF6F" w14:textId="77777777" w:rsidR="00A4739A" w:rsidRPr="00A4739A" w:rsidRDefault="00A4739A" w:rsidP="00A4739A">
      <w:r w:rsidRPr="00A4739A">
        <w:rPr>
          <w:b/>
          <w:bCs/>
        </w:rPr>
        <w:t>Key Initiatives:</w:t>
      </w:r>
    </w:p>
    <w:p w14:paraId="00CA9CE3" w14:textId="77777777" w:rsidR="00A4739A" w:rsidRPr="00A4739A" w:rsidRDefault="00A4739A" w:rsidP="00A4739A">
      <w:pPr>
        <w:numPr>
          <w:ilvl w:val="0"/>
          <w:numId w:val="8"/>
        </w:numPr>
      </w:pPr>
      <w:r w:rsidRPr="00A4739A">
        <w:t>Strengthen and consistently enforce codes of conduct</w:t>
      </w:r>
    </w:p>
    <w:p w14:paraId="77F14F7B" w14:textId="77777777" w:rsidR="00A4739A" w:rsidRPr="00A4739A" w:rsidRDefault="00A4739A" w:rsidP="00A4739A">
      <w:pPr>
        <w:numPr>
          <w:ilvl w:val="0"/>
          <w:numId w:val="8"/>
        </w:numPr>
      </w:pPr>
      <w:r w:rsidRPr="00A4739A">
        <w:t>Promote accessibility and inclusion across all roles</w:t>
      </w:r>
    </w:p>
    <w:p w14:paraId="7F832987" w14:textId="77777777" w:rsidR="00A4739A" w:rsidRPr="00A4739A" w:rsidRDefault="00A4739A" w:rsidP="00A4739A">
      <w:pPr>
        <w:numPr>
          <w:ilvl w:val="0"/>
          <w:numId w:val="8"/>
        </w:numPr>
      </w:pPr>
      <w:r w:rsidRPr="00A4739A">
        <w:t>Challenge elitism and gatekeeping</w:t>
      </w:r>
    </w:p>
    <w:p w14:paraId="65DD118F" w14:textId="77777777" w:rsidR="00A4739A" w:rsidRPr="00A4739A" w:rsidRDefault="00A4739A" w:rsidP="00A4739A">
      <w:pPr>
        <w:numPr>
          <w:ilvl w:val="0"/>
          <w:numId w:val="8"/>
        </w:numPr>
      </w:pPr>
      <w:r w:rsidRPr="00A4739A">
        <w:t>Encourage education, mentorship, and positive engagement</w:t>
      </w:r>
    </w:p>
    <w:p w14:paraId="6CF77BFB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5. Measuring Success</w:t>
      </w:r>
    </w:p>
    <w:p w14:paraId="6D5C2EA3" w14:textId="77777777" w:rsidR="00A4739A" w:rsidRPr="00A4739A" w:rsidRDefault="00A4739A" w:rsidP="00A4739A">
      <w:r w:rsidRPr="00A4739A">
        <w:t>Progress will be monitored through:</w:t>
      </w:r>
    </w:p>
    <w:p w14:paraId="04761722" w14:textId="77777777" w:rsidR="00A4739A" w:rsidRPr="00A4739A" w:rsidRDefault="00A4739A" w:rsidP="00A4739A">
      <w:pPr>
        <w:numPr>
          <w:ilvl w:val="0"/>
          <w:numId w:val="9"/>
        </w:numPr>
      </w:pPr>
      <w:r w:rsidRPr="00A4739A">
        <w:t>Entry numbers and demographic data</w:t>
      </w:r>
    </w:p>
    <w:p w14:paraId="416226D4" w14:textId="77777777" w:rsidR="00A4739A" w:rsidRPr="00A4739A" w:rsidRDefault="00A4739A" w:rsidP="00A4739A">
      <w:pPr>
        <w:numPr>
          <w:ilvl w:val="0"/>
          <w:numId w:val="9"/>
        </w:numPr>
      </w:pPr>
      <w:r w:rsidRPr="00A4739A">
        <w:t>Retention rates of new exhibitors</w:t>
      </w:r>
    </w:p>
    <w:p w14:paraId="6D7864AF" w14:textId="77777777" w:rsidR="00A4739A" w:rsidRPr="00A4739A" w:rsidRDefault="00A4739A" w:rsidP="00A4739A">
      <w:pPr>
        <w:numPr>
          <w:ilvl w:val="0"/>
          <w:numId w:val="9"/>
        </w:numPr>
      </w:pPr>
      <w:r w:rsidRPr="00A4739A">
        <w:t>Volunteer recruitment and retention</w:t>
      </w:r>
    </w:p>
    <w:p w14:paraId="3EBB8D54" w14:textId="77777777" w:rsidR="00A4739A" w:rsidRPr="00A4739A" w:rsidRDefault="00A4739A" w:rsidP="00A4739A">
      <w:pPr>
        <w:numPr>
          <w:ilvl w:val="0"/>
          <w:numId w:val="9"/>
        </w:numPr>
      </w:pPr>
      <w:r w:rsidRPr="00A4739A">
        <w:t>Public sentiment and media coverage</w:t>
      </w:r>
    </w:p>
    <w:p w14:paraId="3C299DD1" w14:textId="77777777" w:rsidR="00A4739A" w:rsidRPr="00A4739A" w:rsidRDefault="00A4739A" w:rsidP="00A4739A">
      <w:pPr>
        <w:numPr>
          <w:ilvl w:val="0"/>
          <w:numId w:val="9"/>
        </w:numPr>
      </w:pPr>
      <w:r w:rsidRPr="00A4739A">
        <w:t>Welfare and breed health indicators</w:t>
      </w:r>
    </w:p>
    <w:p w14:paraId="23982DA6" w14:textId="77777777" w:rsidR="00A4739A" w:rsidRPr="00A4739A" w:rsidRDefault="00A4739A" w:rsidP="00A4739A">
      <w:r w:rsidRPr="00A4739A">
        <w:t>Annual reviews will ensure the strategy remains responsive and effective.</w:t>
      </w:r>
    </w:p>
    <w:p w14:paraId="201C012A" w14:textId="77777777" w:rsidR="00A4739A" w:rsidRPr="00A4739A" w:rsidRDefault="00A4739A" w:rsidP="00A4739A">
      <w:pPr>
        <w:rPr>
          <w:b/>
          <w:bCs/>
        </w:rPr>
      </w:pPr>
      <w:r w:rsidRPr="00A4739A">
        <w:rPr>
          <w:b/>
          <w:bCs/>
        </w:rPr>
        <w:t>6. Conclusion</w:t>
      </w:r>
    </w:p>
    <w:p w14:paraId="6D656326" w14:textId="77777777" w:rsidR="00A4739A" w:rsidRPr="00A4739A" w:rsidRDefault="00A4739A" w:rsidP="00A4739A">
      <w:r w:rsidRPr="00A4739A">
        <w:t>This strategy recognises that dog showing must evolve to survive. By embracing transparency, inclusivity, welfare leadership, and modernisation, the UK dog showing community can secure a sustainable and respected future while honouring its heritage.</w:t>
      </w:r>
    </w:p>
    <w:p w14:paraId="7DBB7811" w14:textId="77777777" w:rsidR="00451D78" w:rsidRDefault="00451D78"/>
    <w:sectPr w:rsidR="00451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31ADA"/>
    <w:multiLevelType w:val="multilevel"/>
    <w:tmpl w:val="9E72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E3284E"/>
    <w:multiLevelType w:val="multilevel"/>
    <w:tmpl w:val="EA36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02FED"/>
    <w:multiLevelType w:val="multilevel"/>
    <w:tmpl w:val="93B0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75F02"/>
    <w:multiLevelType w:val="multilevel"/>
    <w:tmpl w:val="569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775CF"/>
    <w:multiLevelType w:val="multilevel"/>
    <w:tmpl w:val="8E0E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D58EE"/>
    <w:multiLevelType w:val="multilevel"/>
    <w:tmpl w:val="F43C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74170E"/>
    <w:multiLevelType w:val="multilevel"/>
    <w:tmpl w:val="67C0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D55E30"/>
    <w:multiLevelType w:val="multilevel"/>
    <w:tmpl w:val="5458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CE5026"/>
    <w:multiLevelType w:val="multilevel"/>
    <w:tmpl w:val="FEA0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9A"/>
    <w:rsid w:val="000A0D0A"/>
    <w:rsid w:val="003B4399"/>
    <w:rsid w:val="00451D78"/>
    <w:rsid w:val="0056189D"/>
    <w:rsid w:val="005F3AEA"/>
    <w:rsid w:val="00A4739A"/>
    <w:rsid w:val="00AA7BB3"/>
    <w:rsid w:val="00C3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7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39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232227CA2F489AC30E30ACFBDE98" ma:contentTypeVersion="20" ma:contentTypeDescription="Create a new document." ma:contentTypeScope="" ma:versionID="3b8fd809cc2462321cb6b310b4e02f6f">
  <xsd:schema xmlns:xsd="http://www.w3.org/2001/XMLSchema" xmlns:xs="http://www.w3.org/2001/XMLSchema" xmlns:p="http://schemas.microsoft.com/office/2006/metadata/properties" xmlns:ns2="3d2e6b9c-8e79-4945-8030-e99c5575550a" xmlns:ns3="77232069-d1d2-4d15-9167-61f93306edd5" targetNamespace="http://schemas.microsoft.com/office/2006/metadata/properties" ma:root="true" ma:fieldsID="4a53ab5dc7ac0acfa58a131d3cf19258" ns2:_="" ns3:_="">
    <xsd:import namespace="3d2e6b9c-8e79-4945-8030-e99c5575550a"/>
    <xsd:import namespace="77232069-d1d2-4d15-9167-61f93306e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rthumbriapoodleclub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e6b9c-8e79-4945-8030-e99c5575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e143d3-35aa-47aa-8e49-17c7e1d1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rthumbriapoodleclub" ma:index="24" nillable="true" ma:displayName="Northumbria poodle club" ma:description="Catalogue" ma:format="Dropdown" ma:internalName="Northumbriapoodleclub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69-d1d2-4d15-9167-61f93306e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3f19b8-110e-4dae-a2e1-4ede7042ff13}" ma:internalName="TaxCatchAll" ma:showField="CatchAllData" ma:web="77232069-d1d2-4d15-9167-61f93306ed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rthumbriapoodleclub xmlns="3d2e6b9c-8e79-4945-8030-e99c5575550a" xsi:nil="true"/>
    <TaxCatchAll xmlns="77232069-d1d2-4d15-9167-61f93306edd5" xsi:nil="true"/>
    <lcf76f155ced4ddcb4097134ff3c332f xmlns="3d2e6b9c-8e79-4945-8030-e99c55755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5A955D-AD80-4260-8077-73FA444EDE5E}"/>
</file>

<file path=customXml/itemProps2.xml><?xml version="1.0" encoding="utf-8"?>
<ds:datastoreItem xmlns:ds="http://schemas.openxmlformats.org/officeDocument/2006/customXml" ds:itemID="{5762EB26-18EA-402D-8B24-E3FD717B3DC0}"/>
</file>

<file path=customXml/itemProps3.xml><?xml version="1.0" encoding="utf-8"?>
<ds:datastoreItem xmlns:ds="http://schemas.openxmlformats.org/officeDocument/2006/customXml" ds:itemID="{2E9A42BE-062D-4BC7-8328-1E912AC66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McClure</dc:creator>
  <cp:lastModifiedBy>Averil Gwynne</cp:lastModifiedBy>
  <cp:revision>2</cp:revision>
  <dcterms:created xsi:type="dcterms:W3CDTF">2026-05-04T14:15:00Z</dcterms:created>
  <dcterms:modified xsi:type="dcterms:W3CDTF">2026-05-04T14:15:00Z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0x01010007E8232227CA2F489AC30E30ACFBDE98</vt:lpwstr>
  </property>
</Properties>
</file>